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5a3eb6eae30428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15413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NIKOLE TESLE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2.837.759,85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3.193.862,20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2.731.550,63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3.385.301,28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191.439,08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49.557,78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52.412,93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49.557,78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52.412,93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105,8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243.852,01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Manjak prihoda i primitaka odnosi se na tekuće poslovanje u izvještajnom razdoblju. Do manjka je došlo zbog novog računovodstvenog evidentiranja sredstava EU (Erasmus + projekata) jer se dobiveni iznos ne knjiži kao prihod već obveza, te je korigiran projekt Erasmus + koji je započeo 2024. godine. Također, do manjka je došlo zbog nedospjelih refundacija koje su bile potrebne za nabavu nefinancijske imovine. Osim toga, do manjka je došlo zbog nedospjele refundacije za podmirenje obveza za udžbenike. A također, manjak je veći zbog evidentiranja rashoda za plaće za mjesec prosinac 2025. godine.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1.992.157,12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2.204.728,95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110,7</w:t>
            </w:r>
          </w:p>
        </w:tc>
      </w:tr>
    </w:tbl>
    <w:p>
      <w:pPr>
        <w:spacing w:before="0" w:after="0"/>
      </w:pPr>
    </w:p>
    <w:p>
      <w:r>
        <w:t xml:space="preserve">Iskazani su prihodi koje škola ostvaruje iz državnog proračuna za plaće i materijalna prava zaposlenika prema Kolektivnom ugovoru. Prihodi su povećani u odnosu na isto razdoblje prethodne godine zbog povećanja prihoda za plaće radnika (povećanje osnovice za obračun plaće), zbog psiho-dijagnostičkih sredstava te većeg broja prava zaposlenika na materijalna prava.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53.689,12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w:t>
            </w:r>
          </w:p>
        </w:tc>
      </w:tr>
    </w:tbl>
    <w:p>
      <w:pPr>
        <w:spacing w:before="0" w:after="0"/>
      </w:pPr>
    </w:p>
    <w:p>
      <w:r>
        <w:t xml:space="preserve">Iskazani su prihodi koje škola ostvaruje iz državnog proračuna za udžbenike i lektire. Prihodi su smanjeni u odnosu na isto razdoblje prethodne godine zbog toga što škola nije primila uplatu iz državnog proračuna za podmirenje računa za udžbenike, već je samo knjižen prihod iz državnog proračuna za nabavu lektira za školsku knjižnicu.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25.493,60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13.753,50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53,9</w:t>
            </w:r>
          </w:p>
        </w:tc>
      </w:tr>
    </w:tbl>
    <w:p>
      <w:pPr>
        <w:spacing w:before="0" w:after="0"/>
      </w:pPr>
    </w:p>
    <w:p>
      <w:r>
        <w:t xml:space="preserve">Iskazani su prihodi koje škola ostvaruje temeljem prijenosa EU sredstava putem Erasmus + programa. Prihodi su smanjeni u odnosu na isto razdoblje prethodne godine zbog novih uputa za računovodstveno evidentiranje EU sredstava. S obzirom da samo imali Erasmus + projekt koji je započeo u 2024. godini te su prihodi od tog projekta bili knjiženi na kontu 6381, korigiran je financijski rezultat kako bi se ispravno evidentirali prihodi i rashodi za taj projekt.</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90,9</w:t>
            </w:r>
          </w:p>
        </w:tc>
      </w:tr>
    </w:tbl>
    <w:p>
      <w:pPr>
        <w:spacing w:before="0" w:after="0"/>
      </w:pPr>
    </w:p>
    <w:p>
      <w:r>
        <w:t xml:space="preserve">Iskazani su prihodi koje škola ostvaruje temeljem uplate za Medni dan. Prihodi su smanjeni u odnosu na isto razdoblje prethodne godine zbog manjeg broja učenika prvih razreda koji za rezultat ima i smanjenje prihoda za te troškove.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147.617,99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ovom kontu nema iskazanih prihoda, a u prethodnom razdoblju su bili iskazani prihodi na temelju prijenosa EU sredstava za projekt Budi STEMfluencer.</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92.733,44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109.013,84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117,6</w:t>
            </w:r>
          </w:p>
        </w:tc>
      </w:tr>
    </w:tbl>
    <w:p>
      <w:pPr>
        <w:spacing w:before="0" w:after="0"/>
      </w:pPr>
    </w:p>
    <w:p>
      <w:r>
        <w:t xml:space="preserve">Iskazani su prihodi od uplate roditelja za školsku prehranu i produženi boravak. Prihodi su povećani u odnosu na prethodno razdoblje zbog uvođenja ručka za više razrede (od 4. do 8. razreda).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23.381,67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25.880,82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110,7</w:t>
            </w:r>
          </w:p>
        </w:tc>
      </w:tr>
    </w:tbl>
    <w:p>
      <w:pPr>
        <w:spacing w:before="0" w:after="0"/>
      </w:pPr>
    </w:p>
    <w:p>
      <w:r>
        <w:t xml:space="preserve">Iskazan je prihod od pružanja usluga najma školske dvorane i ostalih prostorija škole. Iskazani iznos je veći u odnosu na prošlo izvještajno razdoblje zbog većeg broja korisnika najma te dobivenih sredstava od Sportskog saveza Grada Zagreba.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4.678,34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292,4</w:t>
            </w:r>
          </w:p>
        </w:tc>
      </w:tr>
    </w:tbl>
    <w:p>
      <w:pPr>
        <w:spacing w:before="0" w:after="0"/>
      </w:pPr>
    </w:p>
    <w:p>
      <w:r>
        <w:t xml:space="preserve">Iskazan je prihod od donacije od pravne osobe u obliku dugotrajne materijalne imovine (računala). Prihod je povećan u odnosu na prethodno izvještajno razdoblje jer se radi o donaciji veće vrijednosti.</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488.543,16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828.752,36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169,6</w:t>
            </w:r>
          </w:p>
        </w:tc>
      </w:tr>
    </w:tbl>
    <w:p>
      <w:pPr>
        <w:spacing w:before="0" w:after="0"/>
      </w:pPr>
    </w:p>
    <w:p>
      <w:r>
        <w:t xml:space="preserve">Iskazani su prihodi iz nadležnog proračuna (Grada Zagreba) za tekuće poslovanje. Prihod je veći u odnosu na prošlo izvještajno razdoblje zbog dobivenih sufinanciranih sredstava za prehranu učenika, financiranja zaštitarskih usluga, programa Zelene javne nabave, osiguranja imovine i refundacija sredstava za održavanje škole, te refundacija sredstava za račune koji su se odnosili na 2023. godinu.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10.660,75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5.669,39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53,2</w:t>
            </w:r>
          </w:p>
        </w:tc>
      </w:tr>
    </w:tbl>
    <w:p>
      <w:pPr>
        <w:spacing w:before="0" w:after="0"/>
      </w:pPr>
    </w:p>
    <w:p>
      <w:r>
        <w:t xml:space="preserve">Iskazani su prihodi iz nadležnog proračuna (Grad Zagreb) za nabavu nefinancijske imovine. Prihod je smanjen u odnosu na prošlo izvještajno razdoblje zbog manje nabave nefinancijske imovine.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1.762.391,53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2.222.137,35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126,1</w:t>
            </w:r>
          </w:p>
        </w:tc>
      </w:tr>
    </w:tbl>
    <w:p>
      <w:pPr>
        <w:spacing w:before="0" w:after="0"/>
      </w:pPr>
    </w:p>
    <w:p>
      <w:r>
        <w:t xml:space="preserve">Iskazan je rashod za plaće za redovan rad, a iznos je povećan u odnosu na prethodno izvještajno razdoblje zbog većeg broja zaposlenika te rasta plaća zaposlenika (povećanje osnovice za obračun plaće). Također, zbog ukidanja konta 19311, plaće za mjesec prosinac 2025. knjižene su kao rashod.</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75.444,95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87.413,13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115,9</w:t>
            </w:r>
          </w:p>
        </w:tc>
      </w:tr>
    </w:tbl>
    <w:p>
      <w:pPr>
        <w:spacing w:before="0" w:after="0"/>
      </w:pPr>
    </w:p>
    <w:p>
      <w:r>
        <w:t xml:space="preserve">Iskazani su rashodi za ostale rashode za zaposlenike koji je veći u odnosu na prošlo izvještajno razdoblje zbog većeg broja prava zaposlenika na materijalna prava. Također, zbog ukidanja konta 19311, materijalna prava za mjesec prosinac 2025. knjižena su kao rashod.</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285.127,60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366.526,95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128,5</w:t>
            </w:r>
          </w:p>
        </w:tc>
      </w:tr>
    </w:tbl>
    <w:p>
      <w:pPr>
        <w:spacing w:before="0" w:after="0"/>
      </w:pPr>
    </w:p>
    <w:p>
      <w:r>
        <w:t xml:space="preserve">Iskazani su rashodi za doprinose za zdravstveno osiguranje, a iznos je povećan zbog većeg broja zaposlenika i rasta plaća zaposlenika, samim time se povećavaju i rashodi za doprinose. Također, zbog ukidanja konta 19311, doprinosi za zdravstveno osiguranje za mjesec prosinac 2025. knjiženi su kao rashodi.</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11.990,44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17.028,06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142,0</w:t>
            </w:r>
          </w:p>
        </w:tc>
      </w:tr>
    </w:tbl>
    <w:p>
      <w:pPr>
        <w:spacing w:before="0" w:after="0"/>
      </w:pPr>
    </w:p>
    <w:p>
      <w:r>
        <w:t xml:space="preserve">Iskazani su rashodi za službena putovanja. Rashodi su povećani u odnosu na prethodno izvještajno razdoblje zbog većeg broja odlaska na stručne edukacije i seminare za zaposlenike.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29.493,48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16.324,29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55,3</w:t>
            </w:r>
          </w:p>
        </w:tc>
      </w:tr>
    </w:tbl>
    <w:p>
      <w:pPr>
        <w:spacing w:before="0" w:after="0"/>
      </w:pPr>
    </w:p>
    <w:p>
      <w:r>
        <w:t xml:space="preserve">Iskazani su rashodi za stručna usavršavanja zaposlenika. Rashodi su smanjeni u odnosu na prethodno izvještajno razdoblje zbog manjeg broja odlaska na stručne edukacije i seminare za zaposlenike te manjeg broja odlaska na Erasmus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40.632,41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25.842,86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63,6</w:t>
            </w:r>
          </w:p>
        </w:tc>
      </w:tr>
    </w:tbl>
    <w:p>
      <w:pPr>
        <w:spacing w:before="0" w:after="0"/>
      </w:pPr>
    </w:p>
    <w:p>
      <w:r>
        <w:t xml:space="preserve">Iskazani su rashodi za uredski materijal i ostale materijalne rashode. Rashodi su smanjeni u odnosu na prethodno izvještajno razdoblje zbog toga što su u prethodnom razdoblju na tom kontu bila knjiženja troškova za projekt Budi STEMfluencer.</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20.609,90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14.941,60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72,5</w:t>
            </w:r>
          </w:p>
        </w:tc>
      </w:tr>
    </w:tbl>
    <w:p>
      <w:pPr>
        <w:spacing w:before="0" w:after="0"/>
      </w:pPr>
    </w:p>
    <w:p>
      <w:r>
        <w:t xml:space="preserve">Iskazani su rashodi za materijal i dijelove za tekuće i investicijsko održavanje, a iznos je smanjen u odnosu na prethodno razdoblje zbog završetka projekta Budi STEMfluencer koji je zahtijevao rashode unutar ovog konta.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2.930,31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220,7</w:t>
            </w:r>
          </w:p>
        </w:tc>
      </w:tr>
    </w:tbl>
    <w:p>
      <w:pPr>
        <w:spacing w:before="0" w:after="0"/>
      </w:pPr>
    </w:p>
    <w:p>
      <w:r>
        <w:t xml:space="preserve">Iskazano su rashodi za sitan inventar i auto gume. Rashodi su povećani u odnosu na prethodno izvještajno razdoblje zbog nabave sitnog inventara za kuhinju i tjelesnu i zdravstvenu kulturu te nabava panoa.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31.510,66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139.094,19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441,4</w:t>
            </w:r>
          </w:p>
        </w:tc>
      </w:tr>
    </w:tbl>
    <w:p>
      <w:pPr>
        <w:spacing w:before="0" w:after="0"/>
      </w:pPr>
    </w:p>
    <w:p>
      <w:r>
        <w:t xml:space="preserve">Iskazani su rashodi za usluge tekućeg i investicijskog održavanja koji su povećani u odnosu na prošlo izvještajno razdoblje zbog brušenja i lakiranja laminata u učionicama, uređenje sustava kontrole ulaza u školu, uređenja rasvjete u sportskoj dvorani, ugradnja rampe za invalide, uređenja dječjeg igrališta škole, uvođenje videonadzora, preuređenje čitaonice, popravak stropa i elektroinstalacijski radovi.</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64.516,03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7.352,43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w:t>
            </w:r>
          </w:p>
        </w:tc>
      </w:tr>
    </w:tbl>
    <w:p>
      <w:pPr>
        <w:spacing w:before="0" w:after="0"/>
      </w:pPr>
    </w:p>
    <w:p>
      <w:r>
        <w:t xml:space="preserve">Iskazano je smanjenje intelektualnih i osobnih usluga u odnosu na prethodno izvještajno razdoblje zbog toga jer su u prethodnom izvještajnom razdoblju bile isplate ugovora o djelu za zaposlenike u projektu „Budi STEMfluencer“.</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9.391,37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20.224,08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215,3</w:t>
            </w:r>
          </w:p>
        </w:tc>
      </w:tr>
    </w:tbl>
    <w:p>
      <w:pPr>
        <w:spacing w:before="0" w:after="0"/>
      </w:pPr>
    </w:p>
    <w:p>
      <w:r>
        <w:t xml:space="preserve">Iskazani su rashodi za ostale usluge. Rashodi su povećani u odnosu na prethodno izvještajno razdoblje zbog rashoda za zaštitarske usluge koji nisu bilu u prethodnom razdoblju.</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3.622,10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1333,9</w:t>
            </w:r>
          </w:p>
        </w:tc>
      </w:tr>
    </w:tbl>
    <w:p>
      <w:pPr>
        <w:spacing w:before="0" w:after="0"/>
      </w:pPr>
    </w:p>
    <w:p>
      <w:r>
        <w:t xml:space="preserve">Iskazani su rashodi za premije osiguranja. Temeljem obveze sklapanja police osiguranja za školu (KLASA: 406-05/25-005/7, UR.BR.:251-7-32/001-25-3), povećani su ovi rashodi u odnosu na prethodno razdoblje.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7.701,71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142,4</w:t>
            </w:r>
          </w:p>
        </w:tc>
      </w:tr>
    </w:tbl>
    <w:p>
      <w:pPr>
        <w:spacing w:before="0" w:after="0"/>
      </w:pPr>
    </w:p>
    <w:p>
      <w:r>
        <w:t xml:space="preserve">Iskazani su rashodi za pristojbe i naknade, a rashodi su povećani zbog većih iznosa naknada zbog nezapošljavanja invalida.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1.451,74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215,2</w:t>
            </w:r>
          </w:p>
        </w:tc>
      </w:tr>
    </w:tbl>
    <w:p>
      <w:pPr>
        <w:spacing w:before="0" w:after="0"/>
      </w:pPr>
    </w:p>
    <w:p>
      <w:r>
        <w:t xml:space="preserve">Iskazani su rashodi za bankarske usluge i usluge platnog prometa, a rashodi su povećani zbog većih iznosa naknada za vođenje žiro računa škole i povećanje naknada za transakcije.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1.450,92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w:t>
            </w:r>
          </w:p>
        </w:tc>
      </w:tr>
    </w:tbl>
    <w:p>
      <w:pPr>
        <w:spacing w:before="0" w:after="0"/>
      </w:pPr>
    </w:p>
    <w:p>
      <w:r>
        <w:t xml:space="preserve">Iskazani su rashodi za zatezne kamate. Rashodi su smanjeni u odnosu na prethodno izvještajno razdoblje zbog redovitog podmirenja ulaznih računa.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3.634,54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7.833,00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215,5</w:t>
            </w:r>
          </w:p>
        </w:tc>
      </w:tr>
    </w:tbl>
    <w:p>
      <w:pPr>
        <w:spacing w:before="0" w:after="0"/>
      </w:pPr>
    </w:p>
    <w:p>
      <w:r>
        <w:t xml:space="preserve">Iskazani su rashodi za nabavu komunikacijske opreme. Rashodi su povećani u odnosu na prethodno izvještajno razdoblje zbog nabave naprednih televizora kao alata za pomoć prilikom izvođenja nastave za učenike.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10.415,08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14.578,55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140,0</w:t>
            </w:r>
          </w:p>
        </w:tc>
      </w:tr>
    </w:tbl>
    <w:p>
      <w:pPr>
        <w:spacing w:before="0" w:after="0"/>
      </w:pPr>
    </w:p>
    <w:p>
      <w:r>
        <w:t xml:space="preserve">Iskazani su rashodi za nabavu uređaja, strojeva i opreme za ostale namjene. Rashodi su povećani u odnosu na prethodno izvještajno razdoblje zbog nabave konvektomata i postolja za konvektomat u školskoj kuhinji.</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 preneseni (šifre 92211+92212-92221-92222)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VP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9.500,70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Ovaj iznos je korigiran zbog nove upute o računovodstvenom evidentiranju EU sredstava, odnosno zbog Erasmus + projekta koji je započeo u 2024. godini te je u toj godini evidentiran cijeli prihod. Korigiranjem je došlo do smanjenja viška prihoda – preneseni, no u 2025. godini je taj iznos evidentiran kao prihod.</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64.190,60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 smanjenja vrijednosti imovine došlo je zbog ispravka vrijednosti građevinskih objekata, postrojenja i opreme te knjiga (amortizacija) na kraju izvještajnog razdoblja.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Do povećanja obujma imovine došlo je zbog prijenosnog računala od nadležnog tijela (Grada Zagreba) koji je isknjižio vrijednost opreme iz svojih poslovnih knjiga, te vrijednost prenosi na školu.Također, do povećanja obujma imovine došlo je zbog senzora za kvalitetu zraka od nadležnog tijela (Grada Zagreba) koji je dao opremu na korištenje školi i isknjižio vrijednost opreme iz svojih poslovnih knjiga, te vrijednost prenosi na školu. </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financijske imovine (šifre P024 do P030)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2.306,59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 smanjenja vrijednosti imovine došlo je zbog otpisa potraživanja za prihode po posebnim propisima (prehrana i produženi boravak) koji su bili nenaplativi i duži od 2 godine.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66.125,83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odnosi se na račune koji nisu refundirani od strane osnivača, na račune za tekuće poslovanje i na račune za udžbenike koji nisu refundirani od strane Ministarstva znanosti, obrazovanja i mladih te će te obveze biti podmirene u idućem izvještajnom razdoblju. </w:t>
      </w:r>
    </w:p>
    <w:p/>
    <w:p>
      <w:pPr>
        <w:jc w:val="center"/>
        <w:pStyle w:val="Normal"/>
        <w:spacing w:line="240" w:lineRule="auto"/>
        <w:keepNext/>
      </w:pPr>
      <w:r>
        <w:rPr>
          <w:sz w:val="28"/>
          <w:rFonts w:ascii="Times New Roman" w:hAnsi="Times New Roman"/>
        </w:rPr>
        <w:t xml:space="preserve">Bilješka 34.</w:t>
      </w:r>
    </w:p>
    <w:p>
      <w:pPr>
        <w:jc w:val="both"/>
        <w:pStyle w:val="Normal"/>
        <w:spacing w:line="240" w:lineRule="auto"/>
      </w:pPr>
      <w:r>
        <w:rPr>
          <w:b/>
          <w:sz w:val="24"/>
          <w:rFonts w:ascii="Times New Roman" w:hAnsi="Times New Roman"/>
        </w:rPr>
        <w:t xml:space="preserve">EU izvještaj</w:t>
      </w:r>
    </w:p>
    <w:p>
      <w:r>
        <w:t xml:space="preserve">Prihod koju su prikazani u EU izvještaju odnose se na prihode za projekte Erasmus + koji su evidentirani prema novim uputama za evidentiranje EU sredstava. Nadalje, prikazani su rashodi vezani za Erasmus + projekte. Osim toga, u ovom izvještaju su prikazani i rashodi za projekt Budi STEMfluencer koji je završio u 2024. godini no postoje još sredstva koja nisu utrošena te se postupno troše tijekom 2025. godine i trošiti će se u 2026. godini.</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e55a1ee65e994e27" /></Relationships>
</file>